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4"/>
        <w:jc w:val="center"/>
        <w:rPr>
          <w:rFonts w:hAnsi="宋体"/>
          <w:b/>
          <w:sz w:val="36"/>
          <w:szCs w:val="36"/>
        </w:rPr>
      </w:pPr>
      <w:bookmarkStart w:id="2" w:name="_GoBack"/>
      <w:bookmarkEnd w:id="2"/>
      <w:r>
        <w:rPr>
          <w:rFonts w:hint="eastAsia" w:hAnsi="宋体"/>
          <w:b/>
          <w:sz w:val="36"/>
          <w:szCs w:val="36"/>
        </w:rPr>
        <w:t>众安在线</w:t>
      </w:r>
      <w:r>
        <w:rPr>
          <w:rFonts w:hAnsi="宋体"/>
          <w:b/>
          <w:sz w:val="36"/>
          <w:szCs w:val="36"/>
        </w:rPr>
        <w:t>财产保险股份有限公司</w:t>
      </w:r>
    </w:p>
    <w:p>
      <w:pPr>
        <w:pStyle w:val="14"/>
        <w:jc w:val="center"/>
        <w:rPr>
          <w:rFonts w:ascii="仿宋" w:hAnsi="仿宋" w:eastAsia="仿宋" w:cs="Times New Roman"/>
          <w:color w:val="auto"/>
          <w:kern w:val="2"/>
          <w:sz w:val="32"/>
          <w:szCs w:val="32"/>
        </w:rPr>
      </w:pPr>
      <w:r>
        <w:rPr>
          <w:rFonts w:hint="eastAsia" w:hAnsi="宋体"/>
          <w:b/>
          <w:sz w:val="36"/>
          <w:szCs w:val="36"/>
        </w:rPr>
        <w:t>关于向平安资产管理有限责任公司赎回委托资金关联交易的信息披露公告</w:t>
      </w:r>
    </w:p>
    <w:p>
      <w:pPr>
        <w:ind w:firstLine="480"/>
        <w:rPr>
          <w:rFonts w:ascii="宋体" w:cs="宋体"/>
          <w:color w:val="000000"/>
          <w:kern w:val="0"/>
          <w:sz w:val="24"/>
        </w:rPr>
      </w:pPr>
    </w:p>
    <w:p>
      <w:pPr>
        <w:ind w:firstLine="640"/>
        <w:rPr>
          <w:rFonts w:ascii="仿宋" w:hAnsi="仿宋"/>
          <w:szCs w:val="32"/>
        </w:rPr>
      </w:pPr>
      <w:r>
        <w:rPr>
          <w:rFonts w:hint="eastAsia" w:ascii="仿宋" w:hAnsi="仿宋"/>
          <w:szCs w:val="32"/>
        </w:rPr>
        <w:t>根据中国保监会《保险公司资金运用信息披露准则第</w:t>
      </w:r>
      <w:r>
        <w:rPr>
          <w:rFonts w:ascii="仿宋" w:hAnsi="仿宋"/>
          <w:szCs w:val="32"/>
        </w:rPr>
        <w:t>1</w:t>
      </w:r>
      <w:r>
        <w:rPr>
          <w:rFonts w:hint="eastAsia" w:ascii="仿宋" w:hAnsi="仿宋"/>
          <w:szCs w:val="32"/>
        </w:rPr>
        <w:t>号</w:t>
      </w:r>
      <w:r>
        <w:rPr>
          <w:rFonts w:hint="eastAsia"/>
        </w:rPr>
        <w:t>：关联交易》及相关规定，现将众安在线财产保险股份有限公司(以下简称</w:t>
      </w:r>
      <w:r>
        <w:t>“公司”</w:t>
      </w:r>
      <w:r>
        <w:rPr>
          <w:rFonts w:hint="eastAsia"/>
        </w:rPr>
        <w:t>)关于委托平安资产管理有限责任公司(以下</w:t>
      </w:r>
      <w:r>
        <w:t>简称</w:t>
      </w:r>
      <w:r>
        <w:rPr>
          <w:rFonts w:hint="eastAsia"/>
        </w:rPr>
        <w:t>“平安</w:t>
      </w:r>
      <w:r>
        <w:t>资产</w:t>
      </w:r>
      <w:r>
        <w:rPr>
          <w:rFonts w:hint="eastAsia"/>
        </w:rPr>
        <w:t>”)投资管理关联交易的有关信息报告如下：</w:t>
      </w:r>
    </w:p>
    <w:p>
      <w:pPr>
        <w:pStyle w:val="27"/>
        <w:rPr>
          <w:rFonts w:ascii="仿宋" w:hAnsi="仿宋" w:eastAsia="仿宋"/>
        </w:rPr>
      </w:pPr>
      <w:r>
        <w:t>一、</w:t>
      </w:r>
      <w:r>
        <w:rPr>
          <w:rFonts w:hint="eastAsia"/>
        </w:rPr>
        <w:t>交易概述</w:t>
      </w:r>
      <w:r>
        <w:t>及交易标的的基本情况</w:t>
      </w:r>
    </w:p>
    <w:p>
      <w:pPr>
        <w:ind w:firstLine="640"/>
        <w:rPr>
          <w:rFonts w:ascii="楷体" w:hAnsi="楷体" w:eastAsia="楷体"/>
          <w:szCs w:val="32"/>
        </w:rPr>
      </w:pPr>
      <w:r>
        <w:rPr>
          <w:rFonts w:hint="eastAsia" w:ascii="楷体" w:hAnsi="楷体" w:eastAsia="楷体"/>
          <w:szCs w:val="32"/>
        </w:rPr>
        <w:t>（一）交易概述</w:t>
      </w:r>
    </w:p>
    <w:p>
      <w:pPr>
        <w:ind w:firstLine="640"/>
        <w:rPr>
          <w:rFonts w:ascii="仿宋" w:hAnsi="仿宋"/>
          <w:szCs w:val="32"/>
        </w:rPr>
      </w:pPr>
      <w:r>
        <w:rPr>
          <w:rFonts w:hint="eastAsia" w:ascii="仿宋" w:hAnsi="仿宋"/>
          <w:szCs w:val="32"/>
        </w:rPr>
        <w:t>公司基于</w:t>
      </w:r>
      <w:r>
        <w:rPr>
          <w:rFonts w:ascii="仿宋" w:hAnsi="仿宋"/>
          <w:szCs w:val="32"/>
        </w:rPr>
        <w:t>与平安资产签署的《</w:t>
      </w:r>
      <w:r>
        <w:rPr>
          <w:rFonts w:hint="eastAsia" w:ascii="仿宋" w:hAnsi="仿宋"/>
          <w:szCs w:val="32"/>
        </w:rPr>
        <w:t>平安</w:t>
      </w:r>
      <w:r>
        <w:rPr>
          <w:rFonts w:ascii="仿宋" w:hAnsi="仿宋"/>
          <w:szCs w:val="32"/>
        </w:rPr>
        <w:t>资产管理有限责任公司众安乐享</w:t>
      </w:r>
      <w:r>
        <w:rPr>
          <w:rFonts w:hint="eastAsia" w:ascii="仿宋" w:hAnsi="仿宋"/>
          <w:szCs w:val="32"/>
        </w:rPr>
        <w:t>1号</w:t>
      </w:r>
      <w:r>
        <w:rPr>
          <w:rFonts w:ascii="仿宋" w:hAnsi="仿宋"/>
          <w:szCs w:val="32"/>
        </w:rPr>
        <w:t>资产管理计划资产管理合同》</w:t>
      </w:r>
      <w:r>
        <w:rPr>
          <w:rFonts w:hint="eastAsia" w:ascii="仿宋" w:hAnsi="仿宋"/>
          <w:szCs w:val="32"/>
        </w:rPr>
        <w:t>之</w:t>
      </w:r>
      <w:r>
        <w:rPr>
          <w:rFonts w:ascii="仿宋" w:hAnsi="仿宋"/>
          <w:szCs w:val="32"/>
        </w:rPr>
        <w:t>约定，于</w:t>
      </w:r>
      <w:r>
        <w:rPr>
          <w:rFonts w:hint="eastAsia" w:ascii="仿宋" w:hAnsi="仿宋"/>
          <w:szCs w:val="32"/>
        </w:rPr>
        <w:t>201</w:t>
      </w:r>
      <w:r>
        <w:rPr>
          <w:rFonts w:ascii="仿宋" w:hAnsi="仿宋"/>
          <w:szCs w:val="32"/>
        </w:rPr>
        <w:t>7</w:t>
      </w:r>
      <w:r>
        <w:rPr>
          <w:rFonts w:hint="eastAsia" w:ascii="仿宋" w:hAnsi="仿宋"/>
          <w:szCs w:val="32"/>
        </w:rPr>
        <w:t>年3月27日签发</w:t>
      </w:r>
      <w:r>
        <w:rPr>
          <w:rFonts w:ascii="仿宋" w:hAnsi="仿宋"/>
          <w:szCs w:val="32"/>
        </w:rPr>
        <w:t>了《</w:t>
      </w:r>
      <w:r>
        <w:rPr>
          <w:rFonts w:hint="eastAsia" w:ascii="仿宋" w:hAnsi="仿宋"/>
          <w:szCs w:val="32"/>
        </w:rPr>
        <w:t>委托</w:t>
      </w:r>
      <w:r>
        <w:rPr>
          <w:rFonts w:ascii="仿宋" w:hAnsi="仿宋"/>
          <w:szCs w:val="32"/>
        </w:rPr>
        <w:t>资金提取申请书》</w:t>
      </w:r>
      <w:r>
        <w:rPr>
          <w:rFonts w:hint="eastAsia" w:ascii="仿宋" w:hAnsi="仿宋"/>
          <w:szCs w:val="32"/>
        </w:rPr>
        <w:t>，</w:t>
      </w:r>
      <w:r>
        <w:rPr>
          <w:rFonts w:ascii="仿宋" w:hAnsi="仿宋"/>
          <w:szCs w:val="32"/>
        </w:rPr>
        <w:t>向委托</w:t>
      </w:r>
      <w:r>
        <w:rPr>
          <w:rFonts w:hint="eastAsia" w:ascii="仿宋" w:hAnsi="仿宋"/>
          <w:szCs w:val="32"/>
        </w:rPr>
        <w:t>专户赎回份额73,500,000.00份</w:t>
      </w:r>
      <w:r>
        <w:rPr>
          <w:rFonts w:ascii="仿宋" w:hAnsi="仿宋"/>
          <w:szCs w:val="32"/>
        </w:rPr>
        <w:t>，合计资金人民币</w:t>
      </w:r>
      <w:r>
        <w:rPr>
          <w:rFonts w:hint="eastAsia" w:ascii="仿宋" w:hAnsi="仿宋"/>
          <w:szCs w:val="32"/>
        </w:rPr>
        <w:t>99,923,250.00元。</w:t>
      </w:r>
      <w:r>
        <w:rPr>
          <w:rFonts w:ascii="仿宋" w:hAnsi="仿宋"/>
          <w:szCs w:val="32"/>
        </w:rPr>
        <w:t>平安</w:t>
      </w:r>
      <w:r>
        <w:rPr>
          <w:rFonts w:hint="eastAsia" w:ascii="仿宋" w:hAnsi="仿宋"/>
          <w:szCs w:val="32"/>
        </w:rPr>
        <w:t>资产于2017年3月28日</w:t>
      </w:r>
      <w:r>
        <w:rPr>
          <w:rFonts w:ascii="仿宋" w:hAnsi="仿宋"/>
          <w:szCs w:val="32"/>
        </w:rPr>
        <w:t>确认</w:t>
      </w:r>
      <w:r>
        <w:rPr>
          <w:rFonts w:hint="eastAsia" w:ascii="仿宋" w:hAnsi="仿宋"/>
          <w:szCs w:val="32"/>
        </w:rPr>
        <w:t>该</w:t>
      </w:r>
      <w:r>
        <w:rPr>
          <w:rFonts w:ascii="仿宋" w:hAnsi="仿宋"/>
          <w:szCs w:val="32"/>
        </w:rPr>
        <w:t>申请，并开始运作。</w:t>
      </w:r>
    </w:p>
    <w:p>
      <w:pPr>
        <w:ind w:firstLine="640"/>
        <w:rPr>
          <w:rFonts w:ascii="楷体" w:hAnsi="楷体" w:eastAsia="楷体"/>
          <w:szCs w:val="32"/>
        </w:rPr>
      </w:pPr>
      <w:r>
        <w:rPr>
          <w:rFonts w:hint="eastAsia" w:ascii="楷体" w:hAnsi="楷体" w:eastAsia="楷体"/>
          <w:szCs w:val="32"/>
        </w:rPr>
        <w:t>（二）交易标的基本情况</w:t>
      </w:r>
    </w:p>
    <w:p>
      <w:pPr>
        <w:spacing w:line="360" w:lineRule="auto"/>
        <w:ind w:firstLine="640"/>
        <w:rPr>
          <w:rFonts w:ascii="仿宋" w:hAnsi="仿宋"/>
          <w:szCs w:val="32"/>
        </w:rPr>
      </w:pPr>
      <w:r>
        <w:rPr>
          <w:rFonts w:hint="eastAsia" w:ascii="仿宋" w:hAnsi="仿宋"/>
          <w:szCs w:val="32"/>
        </w:rPr>
        <w:t>公司</w:t>
      </w:r>
      <w:r>
        <w:rPr>
          <w:rFonts w:ascii="仿宋" w:hAnsi="仿宋"/>
          <w:szCs w:val="32"/>
        </w:rPr>
        <w:t>持有的</w:t>
      </w:r>
      <w:r>
        <w:rPr>
          <w:rFonts w:hint="eastAsia" w:ascii="仿宋" w:hAnsi="仿宋"/>
          <w:szCs w:val="32"/>
        </w:rPr>
        <w:t>乐享1</w:t>
      </w:r>
      <w:r>
        <w:rPr>
          <w:rFonts w:ascii="仿宋" w:hAnsi="仿宋"/>
          <w:szCs w:val="32"/>
        </w:rPr>
        <w:t>号赎回前份额</w:t>
      </w:r>
      <w:r>
        <w:rPr>
          <w:rFonts w:hint="eastAsia" w:ascii="仿宋" w:hAnsi="仿宋"/>
          <w:szCs w:val="32"/>
        </w:rPr>
        <w:t>合计</w:t>
      </w:r>
      <w:r>
        <w:rPr>
          <w:rFonts w:ascii="仿宋" w:hAnsi="仿宋"/>
          <w:szCs w:val="32"/>
        </w:rPr>
        <w:t>为</w:t>
      </w:r>
      <w:r>
        <w:rPr>
          <w:rFonts w:hint="eastAsia" w:ascii="仿宋" w:hAnsi="仿宋"/>
          <w:szCs w:val="32"/>
        </w:rPr>
        <w:t xml:space="preserve">                  4,628,630,967.42份。通过本次赎回</w:t>
      </w:r>
      <w:r>
        <w:rPr>
          <w:rFonts w:ascii="仿宋" w:hAnsi="仿宋"/>
          <w:szCs w:val="32"/>
        </w:rPr>
        <w:t>，众安乐享</w:t>
      </w:r>
      <w:r>
        <w:rPr>
          <w:rFonts w:hint="eastAsia" w:ascii="仿宋" w:hAnsi="仿宋"/>
          <w:szCs w:val="32"/>
        </w:rPr>
        <w:t>1号</w:t>
      </w:r>
      <w:r>
        <w:rPr>
          <w:rFonts w:ascii="仿宋" w:hAnsi="仿宋"/>
          <w:szCs w:val="32"/>
        </w:rPr>
        <w:t>托管账户</w:t>
      </w:r>
      <w:r>
        <w:rPr>
          <w:rFonts w:hint="eastAsia" w:ascii="仿宋" w:hAnsi="仿宋"/>
          <w:szCs w:val="32"/>
        </w:rPr>
        <w:t>剩余份额4,555,130,967.42 份。</w:t>
      </w:r>
    </w:p>
    <w:p>
      <w:pPr>
        <w:pStyle w:val="27"/>
      </w:pPr>
      <w:r>
        <w:rPr>
          <w:rFonts w:hint="eastAsia"/>
        </w:rPr>
        <w:t>二</w:t>
      </w:r>
      <w:r>
        <w:t>、</w:t>
      </w:r>
      <w:r>
        <w:rPr>
          <w:rFonts w:hint="eastAsia"/>
        </w:rPr>
        <w:t>交易各方</w:t>
      </w:r>
      <w:r>
        <w:t>的关联关系和关联方基本情况</w:t>
      </w:r>
    </w:p>
    <w:p>
      <w:pPr>
        <w:ind w:firstLine="640"/>
        <w:rPr>
          <w:rFonts w:ascii="楷体" w:hAnsi="楷体" w:eastAsia="楷体"/>
          <w:szCs w:val="32"/>
        </w:rPr>
      </w:pPr>
      <w:r>
        <w:rPr>
          <w:rFonts w:hint="eastAsia" w:ascii="楷体" w:hAnsi="楷体" w:eastAsia="楷体"/>
          <w:szCs w:val="32"/>
        </w:rPr>
        <w:t>（一）交易各方的关联关系</w:t>
      </w:r>
    </w:p>
    <w:p>
      <w:pPr>
        <w:ind w:firstLine="640"/>
        <w:rPr>
          <w:rFonts w:ascii="仿宋" w:hAnsi="仿宋"/>
          <w:szCs w:val="32"/>
        </w:rPr>
      </w:pPr>
      <w:r>
        <w:rPr>
          <w:rFonts w:hint="eastAsia" w:ascii="仿宋" w:hAnsi="仿宋"/>
          <w:szCs w:val="32"/>
        </w:rPr>
        <w:t>公司交易</w:t>
      </w:r>
      <w:r>
        <w:rPr>
          <w:rFonts w:ascii="仿宋" w:hAnsi="仿宋"/>
          <w:szCs w:val="32"/>
        </w:rPr>
        <w:t>对手为</w:t>
      </w:r>
      <w:r>
        <w:rPr>
          <w:rFonts w:hint="eastAsia" w:ascii="仿宋" w:hAnsi="仿宋"/>
          <w:szCs w:val="32"/>
        </w:rPr>
        <w:t>平安资产管理有限责任公司</w:t>
      </w:r>
      <w:r>
        <w:rPr>
          <w:rFonts w:ascii="仿宋" w:hAnsi="仿宋"/>
          <w:szCs w:val="32"/>
        </w:rPr>
        <w:t>，</w:t>
      </w:r>
      <w:r>
        <w:rPr>
          <w:rFonts w:hint="eastAsia" w:ascii="仿宋" w:hAnsi="仿宋"/>
          <w:szCs w:val="32"/>
        </w:rPr>
        <w:t>其为中国平安保险（集团）股份有限公司（以下</w:t>
      </w:r>
      <w:r>
        <w:rPr>
          <w:rFonts w:ascii="仿宋" w:hAnsi="仿宋"/>
          <w:szCs w:val="32"/>
        </w:rPr>
        <w:t>简称“</w:t>
      </w:r>
      <w:r>
        <w:rPr>
          <w:rFonts w:hint="eastAsia" w:ascii="仿宋" w:hAnsi="仿宋"/>
          <w:szCs w:val="32"/>
        </w:rPr>
        <w:t>中国平安集团</w:t>
      </w:r>
      <w:r>
        <w:rPr>
          <w:rFonts w:ascii="仿宋" w:hAnsi="仿宋"/>
          <w:szCs w:val="32"/>
        </w:rPr>
        <w:t>”）</w:t>
      </w:r>
      <w:r>
        <w:rPr>
          <w:rFonts w:hint="eastAsia" w:ascii="仿宋" w:hAnsi="仿宋"/>
          <w:szCs w:val="32"/>
        </w:rPr>
        <w:t>直接控股的公司。中国平安集团持有本公司12.0907%股份</w:t>
      </w:r>
      <w:r>
        <w:rPr>
          <w:rFonts w:ascii="仿宋" w:hAnsi="仿宋"/>
          <w:szCs w:val="32"/>
        </w:rPr>
        <w:t>，</w:t>
      </w:r>
      <w:r>
        <w:rPr>
          <w:rFonts w:hint="eastAsia" w:ascii="仿宋" w:hAnsi="仿宋"/>
          <w:szCs w:val="32"/>
        </w:rPr>
        <w:t>依据《保险公司关联交易管理暂行办法》，平安资产构成公司以股权关系为基础的关联方。</w:t>
      </w:r>
    </w:p>
    <w:p>
      <w:pPr>
        <w:ind w:firstLine="640"/>
        <w:rPr>
          <w:rFonts w:ascii="楷体" w:hAnsi="楷体" w:eastAsia="楷体"/>
          <w:szCs w:val="32"/>
        </w:rPr>
      </w:pPr>
      <w:r>
        <w:rPr>
          <w:rFonts w:hint="eastAsia" w:ascii="楷体" w:hAnsi="楷体" w:eastAsia="楷体"/>
          <w:szCs w:val="32"/>
        </w:rPr>
        <w:t>（二）关联方基本情况</w:t>
      </w:r>
    </w:p>
    <w:p>
      <w:pPr>
        <w:ind w:firstLine="640"/>
        <w:rPr>
          <w:rFonts w:ascii="仿宋" w:hAnsi="仿宋"/>
          <w:szCs w:val="32"/>
        </w:rPr>
      </w:pPr>
      <w:r>
        <w:rPr>
          <w:rStyle w:val="26"/>
          <w:rFonts w:hint="eastAsia"/>
        </w:rPr>
        <w:t>平安资产管理有限责任公司，组织机构代码为710933446，其企业类型为有限责任公司。于2005年5月27日在中华人民共和国上海市注册成立，截至2016年12月31日的注册</w:t>
      </w:r>
      <w:r>
        <w:rPr>
          <w:rStyle w:val="26"/>
        </w:rPr>
        <w:t>资本为人民币</w:t>
      </w:r>
      <w:r>
        <w:rPr>
          <w:rStyle w:val="26"/>
          <w:rFonts w:hint="eastAsia"/>
        </w:rPr>
        <w:t>15亿元，资产管理</w:t>
      </w:r>
      <w:r>
        <w:rPr>
          <w:rStyle w:val="26"/>
        </w:rPr>
        <w:t>总规模达人民币</w:t>
      </w:r>
      <w:r>
        <w:rPr>
          <w:rFonts w:hint="eastAsia" w:ascii="仿宋" w:hAnsi="仿宋"/>
          <w:color w:val="000000"/>
          <w:szCs w:val="32"/>
          <w:shd w:val="clear" w:color="auto" w:fill="FFFFFF"/>
        </w:rPr>
        <w:t>22594.35</w:t>
      </w:r>
      <w:r>
        <w:rPr>
          <w:rStyle w:val="26"/>
          <w:rFonts w:hint="eastAsia"/>
        </w:rPr>
        <w:t>亿元，是国内资本市场最具规模及影响力的机构投资者之一。</w:t>
      </w:r>
      <w:r>
        <w:rPr>
          <w:rStyle w:val="26"/>
        </w:rPr>
        <w:t>平安资产的主要业务包括：管理运用自有资金及保险资金、受托资产管理</w:t>
      </w:r>
      <w:r>
        <w:rPr>
          <w:rFonts w:ascii="仿宋" w:hAnsi="仿宋"/>
          <w:szCs w:val="32"/>
        </w:rPr>
        <w:t>及相关咨询业务。其投资领域涵盖资本市场及非资本市场，具有跨市场资产配置及全品种投资能力，各项投资资格完备。</w:t>
      </w:r>
    </w:p>
    <w:p>
      <w:pPr>
        <w:spacing w:line="360" w:lineRule="auto"/>
        <w:ind w:firstLine="64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交易的定价</w:t>
      </w:r>
      <w:r>
        <w:rPr>
          <w:rFonts w:ascii="黑体" w:hAnsi="黑体" w:eastAsia="黑体"/>
          <w:szCs w:val="32"/>
        </w:rPr>
        <w:t>政策及定价依据</w:t>
      </w:r>
    </w:p>
    <w:p>
      <w:pPr>
        <w:ind w:firstLine="640"/>
        <w:rPr>
          <w:rFonts w:ascii="楷体" w:hAnsi="楷体" w:eastAsia="楷体"/>
          <w:szCs w:val="32"/>
        </w:rPr>
      </w:pPr>
      <w:r>
        <w:rPr>
          <w:rFonts w:hint="eastAsia" w:ascii="楷体" w:hAnsi="楷体" w:eastAsia="楷体"/>
          <w:szCs w:val="32"/>
        </w:rPr>
        <w:t>（一）定价政策</w:t>
      </w:r>
    </w:p>
    <w:p>
      <w:pPr>
        <w:ind w:firstLine="640"/>
        <w:rPr>
          <w:rFonts w:ascii="仿宋" w:hAnsi="仿宋"/>
          <w:szCs w:val="32"/>
        </w:rPr>
      </w:pPr>
      <w:r>
        <w:rPr>
          <w:rFonts w:ascii="仿宋" w:hAnsi="仿宋"/>
          <w:szCs w:val="32"/>
        </w:rPr>
        <w:t>《</w:t>
      </w:r>
      <w:r>
        <w:rPr>
          <w:rFonts w:hint="eastAsia" w:ascii="仿宋" w:hAnsi="仿宋"/>
          <w:szCs w:val="32"/>
        </w:rPr>
        <w:t>平安</w:t>
      </w:r>
      <w:r>
        <w:rPr>
          <w:rFonts w:ascii="仿宋" w:hAnsi="仿宋"/>
          <w:szCs w:val="32"/>
        </w:rPr>
        <w:t>资产管理有限责任公司众安乐享</w:t>
      </w:r>
      <w:r>
        <w:rPr>
          <w:rFonts w:hint="eastAsia" w:ascii="仿宋" w:hAnsi="仿宋"/>
          <w:szCs w:val="32"/>
        </w:rPr>
        <w:t>1号</w:t>
      </w:r>
      <w:r>
        <w:rPr>
          <w:rFonts w:ascii="仿宋" w:hAnsi="仿宋"/>
          <w:szCs w:val="32"/>
        </w:rPr>
        <w:t>资产管理计划资产管理合同》</w:t>
      </w:r>
      <w:r>
        <w:rPr>
          <w:rFonts w:hint="eastAsia" w:ascii="仿宋" w:hAnsi="仿宋"/>
          <w:szCs w:val="32"/>
        </w:rPr>
        <w:t>约定：委托</w:t>
      </w:r>
      <w:r>
        <w:rPr>
          <w:rFonts w:ascii="仿宋" w:hAnsi="仿宋"/>
          <w:szCs w:val="32"/>
        </w:rPr>
        <w:t>资产的提取按照“</w:t>
      </w:r>
      <w:r>
        <w:rPr>
          <w:rFonts w:hint="eastAsia" w:ascii="仿宋" w:hAnsi="仿宋"/>
          <w:szCs w:val="32"/>
        </w:rPr>
        <w:t>份额</w:t>
      </w:r>
      <w:r>
        <w:rPr>
          <w:rFonts w:ascii="仿宋" w:hAnsi="仿宋"/>
          <w:szCs w:val="32"/>
        </w:rPr>
        <w:t>提取”</w:t>
      </w:r>
      <w:r>
        <w:rPr>
          <w:rFonts w:hint="eastAsia" w:ascii="仿宋" w:hAnsi="仿宋"/>
          <w:szCs w:val="32"/>
        </w:rPr>
        <w:t>的方式</w:t>
      </w:r>
      <w:r>
        <w:rPr>
          <w:rFonts w:ascii="仿宋" w:hAnsi="仿宋"/>
          <w:szCs w:val="32"/>
        </w:rPr>
        <w:t>，</w:t>
      </w:r>
      <w:r>
        <w:rPr>
          <w:rFonts w:hint="eastAsia" w:ascii="仿宋" w:hAnsi="仿宋"/>
          <w:szCs w:val="32"/>
        </w:rPr>
        <w:t>即</w:t>
      </w:r>
      <w:r>
        <w:rPr>
          <w:rFonts w:ascii="仿宋" w:hAnsi="仿宋"/>
          <w:szCs w:val="32"/>
        </w:rPr>
        <w:t>以份额数量进行提取</w:t>
      </w:r>
      <w:r>
        <w:rPr>
          <w:rFonts w:hint="eastAsia" w:ascii="仿宋" w:hAnsi="仿宋"/>
          <w:szCs w:val="32"/>
        </w:rPr>
        <w:t>，</w:t>
      </w:r>
      <w:r>
        <w:rPr>
          <w:rFonts w:ascii="仿宋" w:hAnsi="仿宋"/>
          <w:szCs w:val="32"/>
        </w:rPr>
        <w:t>管理人根据</w:t>
      </w:r>
      <w:r>
        <w:rPr>
          <w:rFonts w:hint="eastAsia" w:ascii="仿宋" w:hAnsi="仿宋"/>
          <w:szCs w:val="32"/>
        </w:rPr>
        <w:t>提取</w:t>
      </w:r>
      <w:r>
        <w:rPr>
          <w:rFonts w:ascii="仿宋" w:hAnsi="仿宋"/>
          <w:szCs w:val="32"/>
        </w:rPr>
        <w:t>当日本计划</w:t>
      </w:r>
      <w:r>
        <w:rPr>
          <w:rFonts w:hint="eastAsia" w:ascii="仿宋" w:hAnsi="仿宋"/>
          <w:szCs w:val="32"/>
        </w:rPr>
        <w:t>单位</w:t>
      </w:r>
      <w:r>
        <w:rPr>
          <w:rFonts w:ascii="仿宋" w:hAnsi="仿宋"/>
          <w:szCs w:val="32"/>
        </w:rPr>
        <w:t>净值</w:t>
      </w:r>
      <w:r>
        <w:rPr>
          <w:rFonts w:hint="eastAsia" w:ascii="仿宋" w:hAnsi="仿宋"/>
          <w:szCs w:val="32"/>
        </w:rPr>
        <w:t>，</w:t>
      </w:r>
      <w:r>
        <w:rPr>
          <w:rFonts w:ascii="仿宋" w:hAnsi="仿宋"/>
          <w:szCs w:val="32"/>
        </w:rPr>
        <w:t>确认提取资产的金额</w:t>
      </w:r>
      <w:r>
        <w:rPr>
          <w:rFonts w:hint="eastAsia" w:ascii="仿宋" w:hAnsi="仿宋"/>
          <w:szCs w:val="32"/>
        </w:rPr>
        <w:t>，</w:t>
      </w:r>
      <w:r>
        <w:rPr>
          <w:rFonts w:ascii="仿宋" w:hAnsi="仿宋"/>
          <w:szCs w:val="32"/>
        </w:rPr>
        <w:t>金额采用结尾算法，保留至小数点后两位。</w:t>
      </w:r>
    </w:p>
    <w:p>
      <w:pPr>
        <w:ind w:firstLine="640"/>
        <w:rPr>
          <w:rFonts w:ascii="楷体" w:hAnsi="楷体" w:eastAsia="楷体"/>
          <w:szCs w:val="32"/>
        </w:rPr>
      </w:pPr>
      <w:r>
        <w:rPr>
          <w:rFonts w:hint="eastAsia" w:ascii="楷体" w:hAnsi="楷体" w:eastAsia="楷体"/>
          <w:szCs w:val="32"/>
        </w:rPr>
        <w:t>（二）定价依据</w:t>
      </w:r>
    </w:p>
    <w:p>
      <w:pPr>
        <w:ind w:firstLine="640"/>
        <w:rPr>
          <w:rFonts w:ascii="仿宋" w:hAnsi="仿宋"/>
          <w:szCs w:val="32"/>
        </w:rPr>
      </w:pPr>
      <w:r>
        <w:rPr>
          <w:rFonts w:hint="eastAsia" w:ascii="仿宋" w:hAnsi="仿宋"/>
          <w:szCs w:val="32"/>
        </w:rPr>
        <w:t>乐享1号每日单位</w:t>
      </w:r>
      <w:r>
        <w:rPr>
          <w:rFonts w:ascii="仿宋" w:hAnsi="仿宋"/>
          <w:szCs w:val="32"/>
        </w:rPr>
        <w:t>净值由</w:t>
      </w:r>
      <w:r>
        <w:rPr>
          <w:rFonts w:hint="eastAsia" w:ascii="仿宋" w:hAnsi="仿宋"/>
          <w:szCs w:val="32"/>
        </w:rPr>
        <w:t>乐享</w:t>
      </w:r>
      <w:r>
        <w:rPr>
          <w:rFonts w:ascii="仿宋" w:hAnsi="仿宋"/>
          <w:szCs w:val="32"/>
        </w:rPr>
        <w:t>1号内</w:t>
      </w:r>
      <w:r>
        <w:rPr>
          <w:rFonts w:hint="eastAsia" w:ascii="仿宋" w:hAnsi="仿宋"/>
          <w:szCs w:val="32"/>
        </w:rPr>
        <w:t>资产</w:t>
      </w:r>
      <w:r>
        <w:rPr>
          <w:rFonts w:ascii="仿宋" w:hAnsi="仿宋"/>
          <w:szCs w:val="32"/>
        </w:rPr>
        <w:t>的</w:t>
      </w:r>
      <w:r>
        <w:rPr>
          <w:rFonts w:hint="eastAsia" w:ascii="仿宋" w:hAnsi="仿宋"/>
          <w:szCs w:val="32"/>
        </w:rPr>
        <w:t>市场</w:t>
      </w:r>
      <w:r>
        <w:rPr>
          <w:rFonts w:ascii="仿宋" w:hAnsi="仿宋"/>
          <w:szCs w:val="32"/>
        </w:rPr>
        <w:t>公允价值</w:t>
      </w:r>
      <w:r>
        <w:rPr>
          <w:rFonts w:hint="eastAsia" w:ascii="仿宋" w:hAnsi="仿宋"/>
          <w:szCs w:val="32"/>
        </w:rPr>
        <w:t>以及</w:t>
      </w:r>
      <w:r>
        <w:rPr>
          <w:rFonts w:ascii="仿宋" w:hAnsi="仿宋"/>
          <w:szCs w:val="32"/>
        </w:rPr>
        <w:t>《</w:t>
      </w:r>
      <w:r>
        <w:rPr>
          <w:rFonts w:hint="eastAsia" w:ascii="仿宋" w:hAnsi="仿宋"/>
          <w:szCs w:val="32"/>
        </w:rPr>
        <w:t>平安</w:t>
      </w:r>
      <w:r>
        <w:rPr>
          <w:rFonts w:ascii="仿宋" w:hAnsi="仿宋"/>
          <w:szCs w:val="32"/>
        </w:rPr>
        <w:t>资产管理有限责任公司众安乐享</w:t>
      </w:r>
      <w:r>
        <w:rPr>
          <w:rFonts w:hint="eastAsia" w:ascii="仿宋" w:hAnsi="仿宋"/>
          <w:szCs w:val="32"/>
        </w:rPr>
        <w:t>1号</w:t>
      </w:r>
      <w:r>
        <w:rPr>
          <w:rFonts w:ascii="仿宋" w:hAnsi="仿宋"/>
          <w:szCs w:val="32"/>
        </w:rPr>
        <w:t>资产管理计划资产管理合同》</w:t>
      </w:r>
      <w:r>
        <w:rPr>
          <w:rFonts w:hint="eastAsia" w:ascii="仿宋" w:hAnsi="仿宋"/>
          <w:szCs w:val="32"/>
        </w:rPr>
        <w:t>约定</w:t>
      </w:r>
      <w:r>
        <w:rPr>
          <w:rFonts w:ascii="仿宋" w:hAnsi="仿宋"/>
          <w:szCs w:val="32"/>
        </w:rPr>
        <w:t>的</w:t>
      </w:r>
      <w:r>
        <w:rPr>
          <w:rFonts w:hint="eastAsia" w:ascii="仿宋" w:hAnsi="仿宋"/>
          <w:szCs w:val="32"/>
        </w:rPr>
        <w:t>资产</w:t>
      </w:r>
      <w:r>
        <w:rPr>
          <w:rFonts w:ascii="仿宋" w:hAnsi="仿宋"/>
          <w:szCs w:val="32"/>
        </w:rPr>
        <w:t>管理规则确定</w:t>
      </w:r>
      <w:r>
        <w:rPr>
          <w:rFonts w:hint="eastAsia" w:ascii="仿宋" w:hAnsi="仿宋"/>
          <w:szCs w:val="32"/>
        </w:rPr>
        <w:t>。</w:t>
      </w:r>
    </w:p>
    <w:p>
      <w:pPr>
        <w:pStyle w:val="27"/>
      </w:pPr>
      <w:r>
        <w:rPr>
          <w:rFonts w:hint="eastAsia"/>
        </w:rPr>
        <w:t>四</w:t>
      </w:r>
      <w:r>
        <w:t>、</w:t>
      </w:r>
      <w:r>
        <w:rPr>
          <w:rFonts w:hint="eastAsia"/>
        </w:rPr>
        <w:t>交易协议的主要内容</w:t>
      </w:r>
    </w:p>
    <w:p>
      <w:pPr>
        <w:ind w:firstLine="640"/>
        <w:rPr>
          <w:rFonts w:ascii="楷体" w:hAnsi="楷体" w:eastAsia="楷体"/>
          <w:szCs w:val="32"/>
        </w:rPr>
      </w:pPr>
      <w:r>
        <w:rPr>
          <w:rFonts w:hint="eastAsia" w:ascii="楷体" w:hAnsi="楷体" w:eastAsia="楷体"/>
          <w:szCs w:val="32"/>
        </w:rPr>
        <w:t>（一）交易价格</w:t>
      </w:r>
    </w:p>
    <w:p>
      <w:pPr>
        <w:pStyle w:val="22"/>
      </w:pPr>
      <w:r>
        <w:rPr>
          <w:rFonts w:hint="eastAsia"/>
        </w:rPr>
        <w:t>201</w:t>
      </w:r>
      <w:r>
        <w:t>7</w:t>
      </w:r>
      <w:r>
        <w:rPr>
          <w:rFonts w:hint="eastAsia"/>
        </w:rPr>
        <w:t>年3月27日公</w:t>
      </w:r>
      <w:r>
        <w:t>司</w:t>
      </w:r>
      <w:r>
        <w:rPr>
          <w:rFonts w:hint="eastAsia"/>
        </w:rPr>
        <w:t>签发</w:t>
      </w:r>
      <w:r>
        <w:t>了《</w:t>
      </w:r>
      <w:r>
        <w:rPr>
          <w:rFonts w:hint="eastAsia"/>
        </w:rPr>
        <w:t>委托</w:t>
      </w:r>
      <w:r>
        <w:t>资金提取申请书》</w:t>
      </w:r>
      <w:r>
        <w:rPr>
          <w:rFonts w:hint="eastAsia"/>
        </w:rPr>
        <w:t>，</w:t>
      </w:r>
      <w:r>
        <w:t>向委托</w:t>
      </w:r>
      <w:r>
        <w:rPr>
          <w:rFonts w:hint="eastAsia"/>
        </w:rPr>
        <w:t>专户赎回份额73,500,000.00份</w:t>
      </w:r>
      <w:r>
        <w:t>，</w:t>
      </w:r>
      <w:r>
        <w:rPr>
          <w:rFonts w:hint="eastAsia"/>
        </w:rPr>
        <w:t>按单位</w:t>
      </w:r>
      <w:r>
        <w:t>净值</w:t>
      </w:r>
      <w:r>
        <w:rPr>
          <w:rFonts w:hint="eastAsia"/>
        </w:rPr>
        <w:t>1.3595计算</w:t>
      </w:r>
      <w:r>
        <w:t>合计</w:t>
      </w:r>
      <w:r>
        <w:rPr>
          <w:rFonts w:hint="eastAsia"/>
        </w:rPr>
        <w:t>赎回</w:t>
      </w:r>
      <w:r>
        <w:t>人民币</w:t>
      </w:r>
      <w:r>
        <w:rPr>
          <w:rFonts w:hint="eastAsia"/>
        </w:rPr>
        <w:t>99,923,250.00元。</w:t>
      </w:r>
    </w:p>
    <w:p>
      <w:pPr>
        <w:ind w:firstLine="640"/>
        <w:rPr>
          <w:rFonts w:ascii="楷体" w:hAnsi="楷体" w:eastAsia="楷体"/>
          <w:szCs w:val="32"/>
        </w:rPr>
      </w:pPr>
      <w:r>
        <w:rPr>
          <w:rFonts w:hint="eastAsia" w:ascii="楷体" w:hAnsi="楷体" w:eastAsia="楷体"/>
          <w:szCs w:val="32"/>
        </w:rPr>
        <w:t>（二）交易结算和</w:t>
      </w:r>
      <w:r>
        <w:rPr>
          <w:rFonts w:ascii="楷体" w:hAnsi="楷体" w:eastAsia="楷体"/>
          <w:szCs w:val="32"/>
        </w:rPr>
        <w:t>履行</w:t>
      </w:r>
    </w:p>
    <w:p>
      <w:pPr>
        <w:spacing w:line="360" w:lineRule="auto"/>
        <w:ind w:firstLine="640"/>
        <w:rPr>
          <w:rFonts w:ascii="仿宋" w:hAnsi="仿宋"/>
          <w:szCs w:val="32"/>
        </w:rPr>
      </w:pPr>
      <w:r>
        <w:rPr>
          <w:rFonts w:hint="eastAsia" w:ascii="仿宋" w:hAnsi="仿宋"/>
          <w:szCs w:val="32"/>
        </w:rPr>
        <w:t>根据《平安</w:t>
      </w:r>
      <w:r>
        <w:rPr>
          <w:rFonts w:ascii="仿宋" w:hAnsi="仿宋"/>
          <w:szCs w:val="32"/>
        </w:rPr>
        <w:t>资产管理有限责任公司众安乐享</w:t>
      </w:r>
      <w:r>
        <w:rPr>
          <w:rFonts w:hint="eastAsia" w:ascii="仿宋" w:hAnsi="仿宋"/>
          <w:szCs w:val="32"/>
        </w:rPr>
        <w:t>1号</w:t>
      </w:r>
      <w:r>
        <w:rPr>
          <w:rFonts w:ascii="仿宋" w:hAnsi="仿宋"/>
          <w:szCs w:val="32"/>
        </w:rPr>
        <w:t>资产管理计划资产管理合同》</w:t>
      </w:r>
      <w:r>
        <w:rPr>
          <w:rFonts w:hint="eastAsia" w:ascii="仿宋" w:hAnsi="仿宋"/>
          <w:szCs w:val="32"/>
        </w:rPr>
        <w:t>约定，平安资产</w:t>
      </w:r>
      <w:r>
        <w:rPr>
          <w:rFonts w:ascii="仿宋" w:hAnsi="仿宋"/>
          <w:szCs w:val="32"/>
        </w:rPr>
        <w:t>在确认日后三个工作日</w:t>
      </w:r>
      <w:r>
        <w:rPr>
          <w:rFonts w:hint="eastAsia" w:ascii="仿宋" w:hAnsi="仿宋"/>
          <w:szCs w:val="32"/>
        </w:rPr>
        <w:t>内</w:t>
      </w:r>
      <w:r>
        <w:rPr>
          <w:rFonts w:ascii="仿宋" w:hAnsi="仿宋"/>
          <w:szCs w:val="32"/>
        </w:rPr>
        <w:t>向托管人发送《</w:t>
      </w:r>
      <w:r>
        <w:rPr>
          <w:rFonts w:hint="eastAsia" w:ascii="仿宋" w:hAnsi="仿宋"/>
          <w:szCs w:val="32"/>
        </w:rPr>
        <w:t>划款</w:t>
      </w:r>
      <w:r>
        <w:rPr>
          <w:rFonts w:ascii="仿宋" w:hAnsi="仿宋"/>
          <w:szCs w:val="32"/>
        </w:rPr>
        <w:t>指令》</w:t>
      </w:r>
      <w:r>
        <w:rPr>
          <w:rFonts w:hint="eastAsia" w:ascii="仿宋" w:hAnsi="仿宋"/>
          <w:szCs w:val="32"/>
        </w:rPr>
        <w:t>，</w:t>
      </w:r>
      <w:r>
        <w:rPr>
          <w:rFonts w:ascii="仿宋" w:hAnsi="仿宋"/>
          <w:szCs w:val="32"/>
        </w:rPr>
        <w:t>托管人审核无误后按照《</w:t>
      </w:r>
      <w:r>
        <w:rPr>
          <w:rFonts w:hint="eastAsia" w:ascii="仿宋" w:hAnsi="仿宋"/>
          <w:szCs w:val="32"/>
        </w:rPr>
        <w:t>划款</w:t>
      </w:r>
      <w:r>
        <w:rPr>
          <w:rFonts w:ascii="仿宋" w:hAnsi="仿宋"/>
          <w:szCs w:val="32"/>
        </w:rPr>
        <w:t>指令》</w:t>
      </w:r>
      <w:r>
        <w:rPr>
          <w:rFonts w:hint="eastAsia" w:ascii="仿宋" w:hAnsi="仿宋"/>
          <w:szCs w:val="32"/>
        </w:rPr>
        <w:t>将</w:t>
      </w:r>
      <w:r>
        <w:rPr>
          <w:rFonts w:ascii="仿宋" w:hAnsi="仿宋"/>
          <w:szCs w:val="32"/>
        </w:rPr>
        <w:t>资金划</w:t>
      </w:r>
      <w:r>
        <w:rPr>
          <w:rFonts w:hint="eastAsia" w:ascii="仿宋" w:hAnsi="仿宋"/>
          <w:szCs w:val="32"/>
        </w:rPr>
        <w:t>往</w:t>
      </w:r>
      <w:r>
        <w:rPr>
          <w:rFonts w:ascii="仿宋" w:hAnsi="仿宋"/>
          <w:szCs w:val="32"/>
        </w:rPr>
        <w:t>指定账户</w:t>
      </w:r>
      <w:r>
        <w:rPr>
          <w:rFonts w:hint="eastAsia" w:ascii="仿宋" w:hAnsi="仿宋"/>
          <w:szCs w:val="32"/>
        </w:rPr>
        <w:t>。</w:t>
      </w:r>
    </w:p>
    <w:p>
      <w:pPr>
        <w:spacing w:line="360" w:lineRule="auto"/>
        <w:ind w:firstLine="640"/>
        <w:rPr>
          <w:rFonts w:ascii="黑体" w:hAnsi="黑体" w:eastAsia="黑体"/>
          <w:szCs w:val="32"/>
        </w:rPr>
      </w:pPr>
      <w:r>
        <w:rPr>
          <w:rFonts w:hint="eastAsia" w:ascii="黑体" w:hAnsi="黑体" w:eastAsia="黑体"/>
          <w:szCs w:val="32"/>
        </w:rPr>
        <w:t>五</w:t>
      </w:r>
      <w:r>
        <w:rPr>
          <w:rFonts w:ascii="黑体" w:hAnsi="黑体" w:eastAsia="黑体"/>
          <w:szCs w:val="32"/>
        </w:rPr>
        <w:t>、</w:t>
      </w:r>
      <w:r>
        <w:rPr>
          <w:rFonts w:hint="eastAsia" w:ascii="黑体" w:hAnsi="黑体" w:eastAsia="黑体"/>
          <w:szCs w:val="32"/>
        </w:rPr>
        <w:t>交易决策及</w:t>
      </w:r>
      <w:r>
        <w:rPr>
          <w:rFonts w:ascii="黑体" w:hAnsi="黑体" w:eastAsia="黑体"/>
          <w:szCs w:val="32"/>
        </w:rPr>
        <w:t>审议情况</w:t>
      </w:r>
    </w:p>
    <w:p>
      <w:pPr>
        <w:ind w:firstLine="640"/>
        <w:rPr>
          <w:rFonts w:ascii="楷体" w:hAnsi="楷体" w:eastAsia="楷体"/>
          <w:szCs w:val="32"/>
        </w:rPr>
      </w:pPr>
      <w:r>
        <w:rPr>
          <w:rFonts w:hint="eastAsia" w:ascii="楷体" w:hAnsi="楷体" w:eastAsia="楷体"/>
          <w:szCs w:val="32"/>
        </w:rPr>
        <w:t>（一）决策的机构、时间、结论</w:t>
      </w:r>
    </w:p>
    <w:p>
      <w:pPr>
        <w:ind w:firstLine="640"/>
        <w:rPr>
          <w:rFonts w:ascii="仿宋" w:hAnsi="仿宋"/>
          <w:szCs w:val="32"/>
        </w:rPr>
      </w:pPr>
      <w:bookmarkStart w:id="0" w:name="OLE_LINK4"/>
      <w:r>
        <w:rPr>
          <w:rFonts w:hint="eastAsia" w:ascii="仿宋" w:hAnsi="仿宋"/>
          <w:szCs w:val="32"/>
        </w:rPr>
        <w:t>2017年1月，经公司第二届董事会第二次会议上审议通过了相关决策的议案。</w:t>
      </w:r>
    </w:p>
    <w:p>
      <w:pPr>
        <w:ind w:firstLine="640"/>
        <w:rPr>
          <w:rFonts w:ascii="楷体" w:hAnsi="楷体" w:eastAsia="楷体"/>
          <w:szCs w:val="32"/>
        </w:rPr>
      </w:pPr>
      <w:r>
        <w:rPr>
          <w:rFonts w:hint="eastAsia" w:ascii="楷体" w:hAnsi="楷体" w:eastAsia="楷体"/>
          <w:szCs w:val="32"/>
        </w:rPr>
        <w:t>（二）审议的方式和过程</w:t>
      </w:r>
    </w:p>
    <w:p>
      <w:pPr>
        <w:ind w:firstLine="640"/>
        <w:rPr>
          <w:rFonts w:ascii="仿宋" w:hAnsi="仿宋"/>
          <w:color w:val="000000"/>
          <w:szCs w:val="32"/>
          <w:shd w:val="clear" w:color="auto" w:fill="FFFFFF"/>
        </w:rPr>
      </w:pPr>
      <w:bookmarkStart w:id="1" w:name="OLE_LINK5"/>
      <w:r>
        <w:rPr>
          <w:rFonts w:hint="eastAsia" w:ascii="仿宋" w:hAnsi="仿宋"/>
          <w:color w:val="000000"/>
          <w:szCs w:val="32"/>
          <w:shd w:val="clear" w:color="auto" w:fill="FFFFFF"/>
        </w:rPr>
        <w:t>本次决策审议方式为现场会议审议表决，除关联方董事不参与表决外，其余董事均表决通过。</w:t>
      </w:r>
    </w:p>
    <w:bookmarkEnd w:id="0"/>
    <w:bookmarkEnd w:id="1"/>
    <w:p>
      <w:pPr>
        <w:ind w:firstLine="640"/>
        <w:rPr>
          <w:rFonts w:ascii="仿宋" w:hAnsi="仿宋"/>
          <w:color w:val="000000"/>
          <w:szCs w:val="32"/>
          <w:shd w:val="clear" w:color="auto" w:fill="FFFFFF"/>
        </w:rPr>
      </w:pPr>
    </w:p>
    <w:p>
      <w:pPr>
        <w:spacing w:line="360" w:lineRule="auto"/>
        <w:ind w:firstLine="640"/>
        <w:rPr>
          <w:rFonts w:ascii="黑体" w:hAnsi="黑体" w:eastAsia="黑体"/>
          <w:szCs w:val="32"/>
        </w:rPr>
      </w:pPr>
      <w:r>
        <w:rPr>
          <w:rFonts w:hint="eastAsia" w:ascii="黑体" w:hAnsi="黑体" w:eastAsia="黑体"/>
          <w:szCs w:val="32"/>
        </w:rPr>
        <w:t>六、其他需要披露的信息</w:t>
      </w:r>
    </w:p>
    <w:p>
      <w:pPr>
        <w:ind w:firstLine="640"/>
        <w:rPr>
          <w:rFonts w:ascii="仿宋" w:hAnsi="仿宋"/>
          <w:szCs w:val="32"/>
        </w:rPr>
      </w:pPr>
      <w:r>
        <w:rPr>
          <w:rFonts w:hint="eastAsia" w:ascii="仿宋" w:hAnsi="仿宋"/>
          <w:szCs w:val="32"/>
        </w:rPr>
        <w:t>无。</w:t>
      </w:r>
    </w:p>
    <w:p>
      <w:pPr>
        <w:ind w:firstLine="640"/>
        <w:rPr>
          <w:rFonts w:ascii="仿宋" w:hAnsi="仿宋"/>
          <w:szCs w:val="32"/>
        </w:rPr>
      </w:pPr>
    </w:p>
    <w:p>
      <w:pPr>
        <w:ind w:firstLine="640"/>
        <w:rPr>
          <w:rFonts w:ascii="仿宋" w:hAnsi="仿宋"/>
          <w:szCs w:val="32"/>
        </w:rPr>
      </w:pPr>
      <w:r>
        <w:rPr>
          <w:rFonts w:hint="eastAsia" w:ascii="仿宋" w:hAnsi="仿宋"/>
          <w:szCs w:val="32"/>
        </w:rPr>
        <w:t>本公司</w:t>
      </w:r>
      <w:r>
        <w:rPr>
          <w:rFonts w:ascii="仿宋" w:hAnsi="仿宋"/>
          <w:szCs w:val="32"/>
        </w:rPr>
        <w:t>承诺，已</w:t>
      </w:r>
      <w:r>
        <w:rPr>
          <w:rFonts w:hint="eastAsia" w:ascii="仿宋" w:hAnsi="仿宋"/>
          <w:szCs w:val="32"/>
        </w:rPr>
        <w:t>充分</w:t>
      </w:r>
      <w:r>
        <w:rPr>
          <w:rFonts w:ascii="仿宋" w:hAnsi="仿宋"/>
          <w:szCs w:val="32"/>
        </w:rPr>
        <w:t>知晓开展此</w:t>
      </w:r>
      <w:r>
        <w:rPr>
          <w:rFonts w:hint="eastAsia" w:ascii="仿宋" w:hAnsi="仿宋"/>
          <w:szCs w:val="32"/>
        </w:rPr>
        <w:t>项</w:t>
      </w:r>
      <w:r>
        <w:rPr>
          <w:rFonts w:ascii="仿宋" w:hAnsi="仿宋"/>
          <w:szCs w:val="32"/>
        </w:rPr>
        <w:t>交易的责任和风险，并对本公告所披露信息的真实性、准确性、完整性和合规性负责，愿意接受有关方面监督。对</w:t>
      </w:r>
      <w:r>
        <w:rPr>
          <w:rFonts w:hint="eastAsia" w:ascii="仿宋" w:hAnsi="仿宋"/>
          <w:szCs w:val="32"/>
        </w:rPr>
        <w:t>本</w:t>
      </w:r>
      <w:r>
        <w:rPr>
          <w:rFonts w:ascii="仿宋" w:hAnsi="仿宋"/>
          <w:szCs w:val="32"/>
        </w:rPr>
        <w:t>公告所披露信息如有异议，可以于本公告发布之日起</w:t>
      </w:r>
      <w:r>
        <w:rPr>
          <w:rFonts w:hint="eastAsia" w:ascii="仿宋" w:hAnsi="仿宋"/>
          <w:szCs w:val="32"/>
        </w:rPr>
        <w:t>10个</w:t>
      </w:r>
      <w:r>
        <w:rPr>
          <w:rFonts w:ascii="仿宋" w:hAnsi="仿宋"/>
          <w:szCs w:val="32"/>
        </w:rPr>
        <w:t>工作日内，向中国保监会</w:t>
      </w:r>
      <w:r>
        <w:rPr>
          <w:rFonts w:hint="eastAsia" w:ascii="仿宋" w:hAnsi="仿宋"/>
          <w:szCs w:val="32"/>
        </w:rPr>
        <w:t>保险</w:t>
      </w:r>
      <w:r>
        <w:rPr>
          <w:rFonts w:ascii="仿宋" w:hAnsi="仿宋"/>
          <w:szCs w:val="32"/>
        </w:rPr>
        <w:t>资金运用</w:t>
      </w:r>
      <w:r>
        <w:rPr>
          <w:rFonts w:hint="eastAsia" w:ascii="仿宋" w:hAnsi="仿宋"/>
          <w:szCs w:val="32"/>
        </w:rPr>
        <w:t>监管</w:t>
      </w:r>
      <w:r>
        <w:rPr>
          <w:rFonts w:ascii="仿宋" w:hAnsi="仿宋"/>
          <w:szCs w:val="32"/>
        </w:rPr>
        <w:t>部</w:t>
      </w:r>
      <w:r>
        <w:rPr>
          <w:rFonts w:hint="eastAsia" w:ascii="仿宋" w:hAnsi="仿宋"/>
          <w:szCs w:val="32"/>
        </w:rPr>
        <w:t>反映</w:t>
      </w:r>
      <w:r>
        <w:rPr>
          <w:rFonts w:ascii="仿宋" w:hAnsi="仿宋"/>
          <w:szCs w:val="32"/>
        </w:rPr>
        <w:t>。</w:t>
      </w:r>
    </w:p>
    <w:p>
      <w:pPr>
        <w:ind w:firstLine="640"/>
        <w:rPr>
          <w:rFonts w:ascii="仿宋" w:hAnsi="仿宋"/>
          <w:szCs w:val="32"/>
        </w:rPr>
      </w:pPr>
    </w:p>
    <w:p>
      <w:pPr>
        <w:ind w:firstLine="640"/>
        <w:rPr>
          <w:rFonts w:ascii="仿宋" w:hAnsi="仿宋"/>
          <w:szCs w:val="32"/>
        </w:rPr>
      </w:pPr>
      <w:r>
        <w:rPr>
          <w:rFonts w:hint="eastAsia" w:ascii="仿宋" w:hAnsi="仿宋"/>
          <w:szCs w:val="32"/>
        </w:rPr>
        <w:t>特此公告。</w:t>
      </w:r>
    </w:p>
    <w:p>
      <w:pPr>
        <w:spacing w:line="360" w:lineRule="auto"/>
        <w:ind w:firstLine="643"/>
        <w:rPr>
          <w:rFonts w:ascii="仿宋" w:hAnsi="仿宋"/>
          <w:b/>
          <w:szCs w:val="32"/>
        </w:rPr>
      </w:pPr>
    </w:p>
    <w:p>
      <w:pPr>
        <w:spacing w:line="360" w:lineRule="auto"/>
        <w:ind w:firstLine="640"/>
        <w:jc w:val="right"/>
        <w:rPr>
          <w:rFonts w:ascii="仿宋" w:hAnsi="仿宋"/>
          <w:szCs w:val="32"/>
        </w:rPr>
      </w:pPr>
      <w:r>
        <w:rPr>
          <w:rFonts w:hint="eastAsia" w:ascii="仿宋" w:hAnsi="仿宋"/>
          <w:szCs w:val="32"/>
        </w:rPr>
        <w:t>众安</w:t>
      </w:r>
      <w:r>
        <w:rPr>
          <w:rFonts w:ascii="仿宋" w:hAnsi="仿宋"/>
          <w:szCs w:val="32"/>
        </w:rPr>
        <w:t>在线财产保险股份有限公司</w:t>
      </w:r>
    </w:p>
    <w:p>
      <w:pPr>
        <w:spacing w:line="360" w:lineRule="auto"/>
        <w:ind w:firstLine="640"/>
        <w:jc w:val="center"/>
        <w:rPr>
          <w:rFonts w:ascii="仿宋" w:hAnsi="仿宋"/>
          <w:szCs w:val="32"/>
        </w:rPr>
      </w:pPr>
      <w:r>
        <w:rPr>
          <w:rFonts w:hint="eastAsia" w:ascii="仿宋" w:hAnsi="仿宋"/>
          <w:szCs w:val="32"/>
        </w:rPr>
        <w:t xml:space="preserve">                  </w:t>
      </w:r>
      <w:r>
        <w:rPr>
          <w:rFonts w:ascii="仿宋" w:hAnsi="仿宋"/>
          <w:szCs w:val="32"/>
        </w:rPr>
        <w:t>201</w:t>
      </w:r>
      <w:r>
        <w:rPr>
          <w:rFonts w:hint="eastAsia" w:ascii="仿宋" w:hAnsi="仿宋"/>
          <w:szCs w:val="32"/>
        </w:rPr>
        <w:t>7</w:t>
      </w:r>
      <w:r>
        <w:rPr>
          <w:rFonts w:ascii="仿宋" w:hAnsi="仿宋"/>
          <w:szCs w:val="32"/>
        </w:rPr>
        <w:t>年</w:t>
      </w:r>
      <w:r>
        <w:rPr>
          <w:rFonts w:hint="eastAsia" w:ascii="仿宋" w:hAnsi="仿宋"/>
          <w:szCs w:val="32"/>
        </w:rPr>
        <w:t>3</w:t>
      </w:r>
      <w:r>
        <w:rPr>
          <w:rFonts w:ascii="仿宋" w:hAnsi="仿宋"/>
          <w:szCs w:val="32"/>
        </w:rPr>
        <w:t>月</w:t>
      </w:r>
      <w:r>
        <w:rPr>
          <w:rFonts w:hint="eastAsia" w:ascii="仿宋" w:hAnsi="仿宋"/>
          <w:szCs w:val="32"/>
        </w:rPr>
        <w:t>31</w:t>
      </w:r>
      <w:r>
        <w:rPr>
          <w:rFonts w:ascii="仿宋" w:hAnsi="仿宋"/>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00" w:bottom="1440" w:left="1800" w:header="1134"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41223"/>
    </w:sdtPr>
    <w:sdtContent>
      <w:p>
        <w:pPr>
          <w:pStyle w:val="7"/>
          <w:ind w:firstLine="360"/>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7"/>
      <w:tabs>
        <w:tab w:val="left" w:pos="5068"/>
      </w:tabs>
      <w:ind w:left="8010" w:hanging="8010" w:hangingChars="4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ind w:firstLine="360"/>
    </w:pPr>
    <w:r>
      <w:fldChar w:fldCharType="begin"/>
    </w:r>
    <w:r>
      <w:instrText xml:space="preserve">PAGE   \* MERGEFORMAT</w:instrText>
    </w:r>
    <w:r>
      <w:fldChar w:fldCharType="separate"/>
    </w:r>
    <w:r>
      <w:rPr>
        <w:lang w:val="zh-CN"/>
      </w:rPr>
      <w:t>-</w:t>
    </w:r>
    <w:r>
      <w:t xml:space="preserve"> 4 -</w:t>
    </w:r>
    <w:r>
      <w:fldChar w:fldCharType="end"/>
    </w:r>
  </w:p>
  <w:p>
    <w:pPr>
      <w:pStyle w:val="7"/>
      <w:ind w:firstLine="420"/>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04"/>
    <w:rsid w:val="000335D7"/>
    <w:rsid w:val="00037A08"/>
    <w:rsid w:val="00040F71"/>
    <w:rsid w:val="00046004"/>
    <w:rsid w:val="00053FC5"/>
    <w:rsid w:val="00063019"/>
    <w:rsid w:val="00066B3A"/>
    <w:rsid w:val="00070CB0"/>
    <w:rsid w:val="00081121"/>
    <w:rsid w:val="00085BF2"/>
    <w:rsid w:val="0009528C"/>
    <w:rsid w:val="00097FA4"/>
    <w:rsid w:val="000A2188"/>
    <w:rsid w:val="000A330D"/>
    <w:rsid w:val="000A411A"/>
    <w:rsid w:val="000A6CDD"/>
    <w:rsid w:val="000B28E0"/>
    <w:rsid w:val="000C4215"/>
    <w:rsid w:val="000C6DCE"/>
    <w:rsid w:val="000F0DF1"/>
    <w:rsid w:val="000F0E5F"/>
    <w:rsid w:val="000F2323"/>
    <w:rsid w:val="00100B9C"/>
    <w:rsid w:val="001039F1"/>
    <w:rsid w:val="001225ED"/>
    <w:rsid w:val="0012477B"/>
    <w:rsid w:val="00141C2A"/>
    <w:rsid w:val="00146315"/>
    <w:rsid w:val="00146F78"/>
    <w:rsid w:val="00161D75"/>
    <w:rsid w:val="001626A5"/>
    <w:rsid w:val="00182873"/>
    <w:rsid w:val="001919AD"/>
    <w:rsid w:val="00191E37"/>
    <w:rsid w:val="001934C3"/>
    <w:rsid w:val="00194859"/>
    <w:rsid w:val="00196CBF"/>
    <w:rsid w:val="001A25B2"/>
    <w:rsid w:val="001A5463"/>
    <w:rsid w:val="001A59DB"/>
    <w:rsid w:val="001A7499"/>
    <w:rsid w:val="001C0151"/>
    <w:rsid w:val="001C52C5"/>
    <w:rsid w:val="001C565A"/>
    <w:rsid w:val="001C7772"/>
    <w:rsid w:val="001D3DAD"/>
    <w:rsid w:val="001E570A"/>
    <w:rsid w:val="00203E2D"/>
    <w:rsid w:val="002435B8"/>
    <w:rsid w:val="00244697"/>
    <w:rsid w:val="002457B0"/>
    <w:rsid w:val="00252F1B"/>
    <w:rsid w:val="00253ED0"/>
    <w:rsid w:val="00265D26"/>
    <w:rsid w:val="00272FAC"/>
    <w:rsid w:val="0027606F"/>
    <w:rsid w:val="00297DB6"/>
    <w:rsid w:val="002B2D08"/>
    <w:rsid w:val="002B4B58"/>
    <w:rsid w:val="002C591C"/>
    <w:rsid w:val="002E066D"/>
    <w:rsid w:val="002E5779"/>
    <w:rsid w:val="002E639C"/>
    <w:rsid w:val="002F4245"/>
    <w:rsid w:val="002F4E08"/>
    <w:rsid w:val="003063AB"/>
    <w:rsid w:val="00316B71"/>
    <w:rsid w:val="00327DF4"/>
    <w:rsid w:val="00332448"/>
    <w:rsid w:val="00332758"/>
    <w:rsid w:val="0033348F"/>
    <w:rsid w:val="00335B75"/>
    <w:rsid w:val="00343003"/>
    <w:rsid w:val="00346CF3"/>
    <w:rsid w:val="00372B84"/>
    <w:rsid w:val="003C3F86"/>
    <w:rsid w:val="003D09ED"/>
    <w:rsid w:val="003E0B0C"/>
    <w:rsid w:val="0040074B"/>
    <w:rsid w:val="00417F8F"/>
    <w:rsid w:val="00420AB6"/>
    <w:rsid w:val="0043207F"/>
    <w:rsid w:val="0045097F"/>
    <w:rsid w:val="00455AB0"/>
    <w:rsid w:val="00476AB6"/>
    <w:rsid w:val="00491942"/>
    <w:rsid w:val="00493E88"/>
    <w:rsid w:val="00494C25"/>
    <w:rsid w:val="004D2EE0"/>
    <w:rsid w:val="004D4E61"/>
    <w:rsid w:val="004F04F3"/>
    <w:rsid w:val="00501436"/>
    <w:rsid w:val="00511915"/>
    <w:rsid w:val="00526C29"/>
    <w:rsid w:val="00531955"/>
    <w:rsid w:val="0054175D"/>
    <w:rsid w:val="00552766"/>
    <w:rsid w:val="00562D11"/>
    <w:rsid w:val="00570FBA"/>
    <w:rsid w:val="00595CD0"/>
    <w:rsid w:val="005A0132"/>
    <w:rsid w:val="005C38FD"/>
    <w:rsid w:val="005E190E"/>
    <w:rsid w:val="005E337D"/>
    <w:rsid w:val="005F3CDB"/>
    <w:rsid w:val="005F52AF"/>
    <w:rsid w:val="006043E5"/>
    <w:rsid w:val="00616B57"/>
    <w:rsid w:val="006238BD"/>
    <w:rsid w:val="00652542"/>
    <w:rsid w:val="0065442C"/>
    <w:rsid w:val="00664343"/>
    <w:rsid w:val="00665CE4"/>
    <w:rsid w:val="00681015"/>
    <w:rsid w:val="0068449F"/>
    <w:rsid w:val="006966A4"/>
    <w:rsid w:val="006A6761"/>
    <w:rsid w:val="006D79FD"/>
    <w:rsid w:val="006E6E4E"/>
    <w:rsid w:val="00711E99"/>
    <w:rsid w:val="00713949"/>
    <w:rsid w:val="0071650C"/>
    <w:rsid w:val="00716AF2"/>
    <w:rsid w:val="00732909"/>
    <w:rsid w:val="00733BC6"/>
    <w:rsid w:val="00741737"/>
    <w:rsid w:val="00747EC0"/>
    <w:rsid w:val="0075031A"/>
    <w:rsid w:val="00751F87"/>
    <w:rsid w:val="00755182"/>
    <w:rsid w:val="00763808"/>
    <w:rsid w:val="00764682"/>
    <w:rsid w:val="007C4D9F"/>
    <w:rsid w:val="007D056C"/>
    <w:rsid w:val="007E73DF"/>
    <w:rsid w:val="007F28C9"/>
    <w:rsid w:val="00812D50"/>
    <w:rsid w:val="008149E7"/>
    <w:rsid w:val="0081736B"/>
    <w:rsid w:val="0082643D"/>
    <w:rsid w:val="008336BA"/>
    <w:rsid w:val="00837EEE"/>
    <w:rsid w:val="00843990"/>
    <w:rsid w:val="00874ECD"/>
    <w:rsid w:val="0088766A"/>
    <w:rsid w:val="00887722"/>
    <w:rsid w:val="00895021"/>
    <w:rsid w:val="008A4452"/>
    <w:rsid w:val="008B5D76"/>
    <w:rsid w:val="008B6A28"/>
    <w:rsid w:val="008C74D8"/>
    <w:rsid w:val="008D0775"/>
    <w:rsid w:val="008E26A0"/>
    <w:rsid w:val="008E2F67"/>
    <w:rsid w:val="008E68CA"/>
    <w:rsid w:val="008F1194"/>
    <w:rsid w:val="008F228C"/>
    <w:rsid w:val="009074B3"/>
    <w:rsid w:val="0091587C"/>
    <w:rsid w:val="009404CC"/>
    <w:rsid w:val="0094072F"/>
    <w:rsid w:val="00943548"/>
    <w:rsid w:val="009445EE"/>
    <w:rsid w:val="00953C10"/>
    <w:rsid w:val="009554BF"/>
    <w:rsid w:val="00962750"/>
    <w:rsid w:val="00964215"/>
    <w:rsid w:val="0096729F"/>
    <w:rsid w:val="00990FA9"/>
    <w:rsid w:val="0099408B"/>
    <w:rsid w:val="009B1F8F"/>
    <w:rsid w:val="009B4497"/>
    <w:rsid w:val="009C1FBF"/>
    <w:rsid w:val="009C6DA5"/>
    <w:rsid w:val="009D0336"/>
    <w:rsid w:val="009D32CF"/>
    <w:rsid w:val="009D71D0"/>
    <w:rsid w:val="009E2187"/>
    <w:rsid w:val="009F245A"/>
    <w:rsid w:val="009F398B"/>
    <w:rsid w:val="00A004A0"/>
    <w:rsid w:val="00A05364"/>
    <w:rsid w:val="00A34279"/>
    <w:rsid w:val="00A5274C"/>
    <w:rsid w:val="00A542BF"/>
    <w:rsid w:val="00A56FAE"/>
    <w:rsid w:val="00A61196"/>
    <w:rsid w:val="00A742DE"/>
    <w:rsid w:val="00A847CF"/>
    <w:rsid w:val="00A93B55"/>
    <w:rsid w:val="00A93F2E"/>
    <w:rsid w:val="00AD0214"/>
    <w:rsid w:val="00AD54BF"/>
    <w:rsid w:val="00AE3495"/>
    <w:rsid w:val="00AF44A4"/>
    <w:rsid w:val="00B0632F"/>
    <w:rsid w:val="00B2224E"/>
    <w:rsid w:val="00B61588"/>
    <w:rsid w:val="00B64364"/>
    <w:rsid w:val="00B80417"/>
    <w:rsid w:val="00B8230A"/>
    <w:rsid w:val="00B96FD9"/>
    <w:rsid w:val="00BA48B9"/>
    <w:rsid w:val="00BB78D6"/>
    <w:rsid w:val="00BC736E"/>
    <w:rsid w:val="00BD6CC3"/>
    <w:rsid w:val="00BF22E1"/>
    <w:rsid w:val="00BF456D"/>
    <w:rsid w:val="00C02223"/>
    <w:rsid w:val="00C1284B"/>
    <w:rsid w:val="00C2274A"/>
    <w:rsid w:val="00C30739"/>
    <w:rsid w:val="00C37456"/>
    <w:rsid w:val="00C45418"/>
    <w:rsid w:val="00C5395B"/>
    <w:rsid w:val="00C676C3"/>
    <w:rsid w:val="00C73CE5"/>
    <w:rsid w:val="00CA2D6F"/>
    <w:rsid w:val="00CA5091"/>
    <w:rsid w:val="00CA7806"/>
    <w:rsid w:val="00CA7ADE"/>
    <w:rsid w:val="00CB4F3D"/>
    <w:rsid w:val="00CC1B4E"/>
    <w:rsid w:val="00CE1C25"/>
    <w:rsid w:val="00CF07A3"/>
    <w:rsid w:val="00CF1109"/>
    <w:rsid w:val="00D05FF0"/>
    <w:rsid w:val="00D26FC8"/>
    <w:rsid w:val="00D32E51"/>
    <w:rsid w:val="00D41E40"/>
    <w:rsid w:val="00D50A02"/>
    <w:rsid w:val="00D5186A"/>
    <w:rsid w:val="00D532BA"/>
    <w:rsid w:val="00D56EE4"/>
    <w:rsid w:val="00D65AEE"/>
    <w:rsid w:val="00DB2142"/>
    <w:rsid w:val="00DD50EE"/>
    <w:rsid w:val="00DE5102"/>
    <w:rsid w:val="00DE7E9C"/>
    <w:rsid w:val="00DF5FC2"/>
    <w:rsid w:val="00E00F9B"/>
    <w:rsid w:val="00E071DD"/>
    <w:rsid w:val="00E17192"/>
    <w:rsid w:val="00E2275E"/>
    <w:rsid w:val="00E25D3C"/>
    <w:rsid w:val="00E40F70"/>
    <w:rsid w:val="00E47DB6"/>
    <w:rsid w:val="00E52298"/>
    <w:rsid w:val="00E93B64"/>
    <w:rsid w:val="00EC56EB"/>
    <w:rsid w:val="00ED6732"/>
    <w:rsid w:val="00EF598F"/>
    <w:rsid w:val="00F10C60"/>
    <w:rsid w:val="00F11066"/>
    <w:rsid w:val="00F11D72"/>
    <w:rsid w:val="00F31C9B"/>
    <w:rsid w:val="00F34DDF"/>
    <w:rsid w:val="00F37E3D"/>
    <w:rsid w:val="00F573D7"/>
    <w:rsid w:val="00F828D1"/>
    <w:rsid w:val="00F84880"/>
    <w:rsid w:val="00F97B36"/>
    <w:rsid w:val="00FA152D"/>
    <w:rsid w:val="00FA5356"/>
    <w:rsid w:val="00FB7192"/>
    <w:rsid w:val="00FC35C4"/>
    <w:rsid w:val="00FD2C51"/>
    <w:rsid w:val="00FE5CC2"/>
    <w:rsid w:val="00FF1122"/>
    <w:rsid w:val="0F5061FA"/>
    <w:rsid w:val="1F042871"/>
    <w:rsid w:val="20FC7FC6"/>
    <w:rsid w:val="2E647673"/>
    <w:rsid w:val="6A8B6931"/>
    <w:rsid w:val="6E825FB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0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0"/>
    <w:uiPriority w:val="9"/>
    <w:pPr>
      <w:keepNext/>
      <w:keepLines/>
      <w:spacing w:before="340" w:after="330" w:line="578" w:lineRule="auto"/>
      <w:outlineLvl w:val="0"/>
    </w:pPr>
    <w:rPr>
      <w:rFonts w:eastAsia="黑体"/>
      <w:b/>
      <w:bCs/>
      <w:kern w:val="44"/>
      <w:szCs w:val="44"/>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unhideWhenUsed/>
    <w:qFormat/>
    <w:uiPriority w:val="99"/>
    <w:rPr>
      <w:b/>
      <w:bCs/>
    </w:rPr>
  </w:style>
  <w:style w:type="paragraph" w:styleId="4">
    <w:name w:val="annotation text"/>
    <w:basedOn w:val="1"/>
    <w:link w:val="18"/>
    <w:unhideWhenUsed/>
    <w:qFormat/>
    <w:uiPriority w:val="99"/>
    <w:pPr>
      <w:jc w:val="left"/>
    </w:pPr>
  </w:style>
  <w:style w:type="paragraph" w:styleId="5">
    <w:name w:val="Date"/>
    <w:basedOn w:val="1"/>
    <w:next w:val="1"/>
    <w:link w:val="15"/>
    <w:unhideWhenUsed/>
    <w:qFormat/>
    <w:uiPriority w:val="99"/>
    <w:pPr>
      <w:ind w:left="100" w:leftChars="2500"/>
    </w:pPr>
  </w:style>
  <w:style w:type="paragraph" w:styleId="6">
    <w:name w:val="Balloon Text"/>
    <w:basedOn w:val="1"/>
    <w:link w:val="17"/>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99"/>
    <w:rPr>
      <w:sz w:val="21"/>
      <w:szCs w:val="21"/>
    </w:rPr>
  </w:style>
  <w:style w:type="character" w:customStyle="1" w:styleId="12">
    <w:name w:val="页眉 Char"/>
    <w:basedOn w:val="9"/>
    <w:link w:val="8"/>
    <w:qFormat/>
    <w:uiPriority w:val="99"/>
    <w:rPr>
      <w:sz w:val="18"/>
      <w:szCs w:val="18"/>
    </w:rPr>
  </w:style>
  <w:style w:type="character" w:customStyle="1" w:styleId="13">
    <w:name w:val="页脚 Char"/>
    <w:basedOn w:val="9"/>
    <w:link w:val="7"/>
    <w:qFormat/>
    <w:uiPriority w:val="99"/>
    <w:rPr>
      <w:sz w:val="18"/>
      <w:szCs w:val="18"/>
    </w:rPr>
  </w:style>
  <w:style w:type="paragraph" w:customStyle="1" w:styleId="14">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日期 Char"/>
    <w:basedOn w:val="9"/>
    <w:link w:val="5"/>
    <w:semiHidden/>
    <w:qFormat/>
    <w:uiPriority w:val="99"/>
    <w:rPr>
      <w:rFonts w:ascii="Times New Roman" w:hAnsi="Times New Roman" w:eastAsia="宋体" w:cs="Times New Roman"/>
      <w:szCs w:val="24"/>
    </w:rPr>
  </w:style>
  <w:style w:type="paragraph" w:customStyle="1" w:styleId="16">
    <w:name w:val="列出段落1"/>
    <w:basedOn w:val="1"/>
    <w:uiPriority w:val="34"/>
    <w:pPr>
      <w:ind w:firstLine="420"/>
    </w:pPr>
  </w:style>
  <w:style w:type="character" w:customStyle="1" w:styleId="17">
    <w:name w:val="批注框文本 Char"/>
    <w:basedOn w:val="9"/>
    <w:link w:val="6"/>
    <w:semiHidden/>
    <w:qFormat/>
    <w:uiPriority w:val="99"/>
    <w:rPr>
      <w:rFonts w:ascii="Times New Roman" w:hAnsi="Times New Roman" w:eastAsia="宋体" w:cs="Times New Roman"/>
      <w:sz w:val="18"/>
      <w:szCs w:val="18"/>
    </w:rPr>
  </w:style>
  <w:style w:type="character" w:customStyle="1" w:styleId="18">
    <w:name w:val="批注文字 Char"/>
    <w:basedOn w:val="9"/>
    <w:link w:val="4"/>
    <w:qFormat/>
    <w:uiPriority w:val="99"/>
    <w:rPr>
      <w:rFonts w:ascii="Times New Roman" w:hAnsi="Times New Roman" w:eastAsia="宋体" w:cs="Times New Roman"/>
      <w:kern w:val="2"/>
      <w:sz w:val="21"/>
      <w:szCs w:val="24"/>
    </w:rPr>
  </w:style>
  <w:style w:type="character" w:customStyle="1" w:styleId="19">
    <w:name w:val="批注主题 Char"/>
    <w:basedOn w:val="18"/>
    <w:link w:val="3"/>
    <w:semiHidden/>
    <w:qFormat/>
    <w:uiPriority w:val="99"/>
    <w:rPr>
      <w:rFonts w:ascii="Times New Roman" w:hAnsi="Times New Roman" w:eastAsia="宋体" w:cs="Times New Roman"/>
      <w:b/>
      <w:bCs/>
      <w:kern w:val="2"/>
      <w:sz w:val="21"/>
      <w:szCs w:val="24"/>
    </w:rPr>
  </w:style>
  <w:style w:type="character" w:customStyle="1" w:styleId="20">
    <w:name w:val="标题 1 Char"/>
    <w:basedOn w:val="9"/>
    <w:link w:val="2"/>
    <w:qFormat/>
    <w:uiPriority w:val="9"/>
    <w:rPr>
      <w:rFonts w:ascii="Times New Roman" w:hAnsi="Times New Roman" w:eastAsia="黑体" w:cs="Times New Roman"/>
      <w:b/>
      <w:bCs/>
      <w:kern w:val="44"/>
      <w:sz w:val="32"/>
      <w:szCs w:val="44"/>
    </w:rPr>
  </w:style>
  <w:style w:type="paragraph" w:customStyle="1" w:styleId="21">
    <w:name w:val="标题1"/>
    <w:basedOn w:val="1"/>
    <w:link w:val="23"/>
    <w:uiPriority w:val="0"/>
    <w:pPr>
      <w:spacing w:line="360" w:lineRule="auto"/>
      <w:ind w:firstLine="640"/>
    </w:pPr>
    <w:rPr>
      <w:rFonts w:ascii="黑体" w:hAnsi="黑体" w:eastAsia="黑体"/>
      <w:szCs w:val="32"/>
    </w:rPr>
  </w:style>
  <w:style w:type="paragraph" w:customStyle="1" w:styleId="22">
    <w:name w:val="正文1"/>
    <w:basedOn w:val="1"/>
    <w:link w:val="25"/>
    <w:qFormat/>
    <w:uiPriority w:val="0"/>
    <w:pPr>
      <w:spacing w:line="360" w:lineRule="auto"/>
      <w:ind w:firstLine="640"/>
    </w:pPr>
    <w:rPr>
      <w:rFonts w:ascii="仿宋" w:hAnsi="仿宋"/>
      <w:szCs w:val="32"/>
    </w:rPr>
  </w:style>
  <w:style w:type="character" w:customStyle="1" w:styleId="23">
    <w:name w:val="标题1 Char"/>
    <w:basedOn w:val="9"/>
    <w:link w:val="21"/>
    <w:uiPriority w:val="0"/>
    <w:rPr>
      <w:rFonts w:ascii="黑体" w:hAnsi="黑体" w:eastAsia="黑体" w:cs="Times New Roman"/>
      <w:kern w:val="2"/>
      <w:sz w:val="32"/>
      <w:szCs w:val="32"/>
    </w:rPr>
  </w:style>
  <w:style w:type="paragraph" w:customStyle="1" w:styleId="24">
    <w:name w:val="报告正文"/>
    <w:basedOn w:val="1"/>
    <w:link w:val="26"/>
    <w:qFormat/>
    <w:uiPriority w:val="0"/>
    <w:pPr>
      <w:ind w:firstLine="640"/>
    </w:pPr>
    <w:rPr>
      <w:rFonts w:ascii="仿宋" w:hAnsi="仿宋"/>
      <w:color w:val="000000"/>
      <w:szCs w:val="32"/>
      <w:shd w:val="clear" w:color="auto" w:fill="FFFFFF"/>
    </w:rPr>
  </w:style>
  <w:style w:type="character" w:customStyle="1" w:styleId="25">
    <w:name w:val="正文 Char"/>
    <w:basedOn w:val="9"/>
    <w:link w:val="22"/>
    <w:qFormat/>
    <w:uiPriority w:val="0"/>
    <w:rPr>
      <w:rFonts w:ascii="仿宋" w:hAnsi="仿宋" w:eastAsia="仿宋" w:cs="Times New Roman"/>
      <w:kern w:val="2"/>
      <w:sz w:val="32"/>
      <w:szCs w:val="32"/>
    </w:rPr>
  </w:style>
  <w:style w:type="character" w:customStyle="1" w:styleId="26">
    <w:name w:val="报告正文 Char"/>
    <w:basedOn w:val="9"/>
    <w:link w:val="24"/>
    <w:qFormat/>
    <w:uiPriority w:val="0"/>
    <w:rPr>
      <w:rFonts w:ascii="仿宋" w:hAnsi="仿宋" w:eastAsia="仿宋" w:cs="Times New Roman"/>
      <w:color w:val="000000"/>
      <w:kern w:val="2"/>
      <w:sz w:val="32"/>
      <w:szCs w:val="32"/>
    </w:rPr>
  </w:style>
  <w:style w:type="paragraph" w:customStyle="1" w:styleId="27">
    <w:name w:val="公告标题1"/>
    <w:basedOn w:val="21"/>
    <w:link w:val="28"/>
    <w:qFormat/>
    <w:uiPriority w:val="0"/>
  </w:style>
  <w:style w:type="character" w:customStyle="1" w:styleId="28">
    <w:name w:val="公告标题1 Char"/>
    <w:basedOn w:val="23"/>
    <w:link w:val="27"/>
    <w:uiPriority w:val="0"/>
    <w:rPr>
      <w:rFonts w:ascii="黑体" w:hAnsi="黑体" w:eastAsia="黑体" w:cs="Times New Roman"/>
      <w:kern w:val="2"/>
      <w:sz w:val="32"/>
      <w:szCs w:val="32"/>
    </w:rPr>
  </w:style>
  <w:style w:type="character" w:customStyle="1" w:styleId="29">
    <w:name w:val="正文1 Char"/>
    <w:basedOn w:val="9"/>
    <w:uiPriority w:val="0"/>
    <w:rPr>
      <w:rFonts w:ascii="仿宋" w:hAnsi="仿宋" w:eastAsia="仿宋"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E8FAD-93E0-324C-A161-B65C045D5298}">
  <ds:schemaRefs/>
</ds:datastoreItem>
</file>

<file path=docProps/app.xml><?xml version="1.0" encoding="utf-8"?>
<Properties xmlns="http://schemas.openxmlformats.org/officeDocument/2006/extended-properties" xmlns:vt="http://schemas.openxmlformats.org/officeDocument/2006/docPropsVTypes">
  <Template>Normal</Template>
  <Pages>4</Pages>
  <Words>233</Words>
  <Characters>1329</Characters>
  <Lines>11</Lines>
  <Paragraphs>3</Paragraphs>
  <TotalTime>0</TotalTime>
  <ScaleCrop>false</ScaleCrop>
  <LinksUpToDate>false</LinksUpToDate>
  <CharactersWithSpaces>1559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2017-02-27T08:09:00Z</dcterms:created>
  <dc:creator>charlotteqi</dc:creator>
  <cp:lastModifiedBy>刘凯</cp:lastModifiedBy>
  <cp:lastPrinted>2016-07-15T07:53:00Z</cp:lastPrinted>
  <dcterms:modified xsi:type="dcterms:W3CDTF">2017-04-11T01:51:20Z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